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9D6" w:rsidRPr="000C59D6" w:rsidRDefault="000C59D6" w:rsidP="000C59D6">
      <w:pPr>
        <w:pStyle w:val="Default"/>
        <w:ind w:left="720"/>
        <w:jc w:val="both"/>
        <w:rPr>
          <w:rFonts w:asciiTheme="majorBidi" w:hAnsiTheme="majorBidi" w:cstheme="majorBidi"/>
          <w:b/>
          <w:color w:val="FF0000"/>
          <w:sz w:val="28"/>
          <w:szCs w:val="28"/>
          <w:lang w:val="en-GB"/>
        </w:rPr>
      </w:pPr>
      <w:r w:rsidRPr="000C59D6">
        <w:rPr>
          <w:rFonts w:asciiTheme="majorBidi" w:hAnsiTheme="majorBidi" w:cstheme="majorBidi"/>
          <w:b/>
          <w:color w:val="FF0000"/>
          <w:sz w:val="28"/>
          <w:szCs w:val="28"/>
          <w:lang w:val="en-GB"/>
        </w:rPr>
        <w:t>Eligibility of students</w:t>
      </w:r>
    </w:p>
    <w:p w:rsidR="000C59D6" w:rsidRPr="000C59D6" w:rsidRDefault="000C59D6" w:rsidP="000C59D6">
      <w:pPr>
        <w:pStyle w:val="Default"/>
        <w:jc w:val="both"/>
        <w:rPr>
          <w:rFonts w:asciiTheme="majorBidi" w:hAnsiTheme="majorBidi" w:cstheme="majorBidi"/>
          <w:bCs/>
          <w:color w:val="auto"/>
          <w:sz w:val="28"/>
          <w:szCs w:val="28"/>
          <w:lang w:val="en-GB"/>
        </w:rPr>
      </w:pPr>
    </w:p>
    <w:p w:rsidR="000C59D6" w:rsidRPr="000C59D6" w:rsidRDefault="000C59D6" w:rsidP="000C59D6">
      <w:pPr>
        <w:pStyle w:val="Default"/>
        <w:jc w:val="both"/>
        <w:rPr>
          <w:rFonts w:asciiTheme="majorBidi" w:hAnsiTheme="majorBidi" w:cstheme="majorBidi"/>
          <w:sz w:val="28"/>
          <w:szCs w:val="28"/>
          <w:lang w:val="en-GB"/>
        </w:rPr>
      </w:pPr>
      <w:r w:rsidRPr="000C59D6">
        <w:rPr>
          <w:rFonts w:asciiTheme="majorBidi" w:hAnsiTheme="majorBidi" w:cstheme="majorBidi"/>
          <w:sz w:val="28"/>
          <w:szCs w:val="28"/>
          <w:lang w:val="en-GB"/>
        </w:rPr>
        <w:t>To study abroad students must</w:t>
      </w:r>
    </w:p>
    <w:p w:rsidR="000C59D6" w:rsidRPr="000C59D6" w:rsidRDefault="000C59D6" w:rsidP="000C59D6">
      <w:pPr>
        <w:pStyle w:val="Default"/>
        <w:numPr>
          <w:ilvl w:val="0"/>
          <w:numId w:val="7"/>
        </w:numPr>
        <w:jc w:val="both"/>
        <w:rPr>
          <w:rFonts w:asciiTheme="majorBidi" w:hAnsiTheme="majorBidi" w:cstheme="majorBidi"/>
          <w:sz w:val="28"/>
          <w:szCs w:val="28"/>
          <w:lang w:val="en-GB"/>
        </w:rPr>
      </w:pPr>
      <w:r w:rsidRPr="000C59D6">
        <w:rPr>
          <w:rFonts w:asciiTheme="majorBidi" w:hAnsiTheme="majorBidi" w:cstheme="majorBidi"/>
          <w:sz w:val="28"/>
          <w:szCs w:val="28"/>
          <w:lang w:val="en-GB"/>
        </w:rPr>
        <w:t xml:space="preserve"> </w:t>
      </w:r>
      <w:proofErr w:type="gramStart"/>
      <w:r w:rsidRPr="000C59D6">
        <w:rPr>
          <w:rFonts w:asciiTheme="majorBidi" w:hAnsiTheme="majorBidi" w:cstheme="majorBidi"/>
          <w:sz w:val="28"/>
          <w:szCs w:val="28"/>
          <w:lang w:val="en-GB"/>
        </w:rPr>
        <w:t>be</w:t>
      </w:r>
      <w:proofErr w:type="gramEnd"/>
      <w:r w:rsidRPr="000C59D6">
        <w:rPr>
          <w:rFonts w:asciiTheme="majorBidi" w:hAnsiTheme="majorBidi" w:cstheme="majorBidi"/>
          <w:sz w:val="28"/>
          <w:szCs w:val="28"/>
          <w:lang w:val="en-GB"/>
        </w:rPr>
        <w:t xml:space="preserve"> registered at the home institution following studies leading to a recognised degree or other recognised tertiary level qualification, such as a Bachelor, a Master or a Doctorate.</w:t>
      </w:r>
    </w:p>
    <w:p w:rsidR="000C59D6" w:rsidRPr="000C59D6" w:rsidRDefault="000C59D6" w:rsidP="000C59D6">
      <w:pPr>
        <w:pStyle w:val="Default"/>
        <w:numPr>
          <w:ilvl w:val="0"/>
          <w:numId w:val="7"/>
        </w:numPr>
        <w:jc w:val="both"/>
        <w:rPr>
          <w:rFonts w:asciiTheme="majorBidi" w:hAnsiTheme="majorBidi" w:cstheme="majorBidi"/>
          <w:sz w:val="28"/>
          <w:szCs w:val="28"/>
          <w:lang w:val="en-GB"/>
        </w:rPr>
      </w:pPr>
      <w:proofErr w:type="gramStart"/>
      <w:r w:rsidRPr="000C59D6">
        <w:rPr>
          <w:rFonts w:asciiTheme="majorBidi" w:hAnsiTheme="majorBidi" w:cstheme="majorBidi"/>
          <w:sz w:val="28"/>
          <w:szCs w:val="28"/>
          <w:lang w:val="en-GB"/>
        </w:rPr>
        <w:t>have</w:t>
      </w:r>
      <w:proofErr w:type="gramEnd"/>
      <w:r w:rsidRPr="000C59D6">
        <w:rPr>
          <w:rFonts w:asciiTheme="majorBidi" w:hAnsiTheme="majorBidi" w:cstheme="majorBidi"/>
          <w:sz w:val="28"/>
          <w:szCs w:val="28"/>
          <w:lang w:val="en-GB"/>
        </w:rPr>
        <w:t xml:space="preserve"> completed at least one year of studies with the intention intend to graduate with a recognized degree. </w:t>
      </w:r>
    </w:p>
    <w:p w:rsidR="000C59D6" w:rsidRPr="000C59D6" w:rsidRDefault="000C59D6" w:rsidP="000C59D6">
      <w:pPr>
        <w:pStyle w:val="Default"/>
        <w:numPr>
          <w:ilvl w:val="0"/>
          <w:numId w:val="7"/>
        </w:numPr>
        <w:jc w:val="both"/>
        <w:rPr>
          <w:rFonts w:asciiTheme="majorBidi" w:hAnsiTheme="majorBidi" w:cstheme="majorBidi"/>
          <w:sz w:val="28"/>
          <w:szCs w:val="28"/>
          <w:lang w:val="en-GB"/>
        </w:rPr>
      </w:pPr>
      <w:r w:rsidRPr="000C59D6">
        <w:rPr>
          <w:rFonts w:asciiTheme="majorBidi" w:hAnsiTheme="majorBidi" w:cstheme="majorBidi"/>
          <w:sz w:val="28"/>
          <w:szCs w:val="28"/>
          <w:lang w:val="en-GB"/>
        </w:rPr>
        <w:t>Have a certificated knowledge of the language of instruction of the host Institution</w:t>
      </w:r>
    </w:p>
    <w:p w:rsidR="000C59D6" w:rsidRPr="000C59D6" w:rsidRDefault="000C59D6" w:rsidP="000C59D6">
      <w:pPr>
        <w:pStyle w:val="Default"/>
        <w:ind w:left="720"/>
        <w:jc w:val="both"/>
        <w:rPr>
          <w:rFonts w:asciiTheme="majorBidi" w:hAnsiTheme="majorBidi" w:cstheme="majorBidi"/>
          <w:sz w:val="28"/>
          <w:szCs w:val="28"/>
          <w:lang w:val="en-GB"/>
        </w:rPr>
      </w:pPr>
    </w:p>
    <w:p w:rsidR="000C59D6" w:rsidRPr="000C59D6" w:rsidRDefault="000C59D6" w:rsidP="000C59D6">
      <w:pPr>
        <w:pStyle w:val="Default"/>
        <w:ind w:left="360"/>
        <w:jc w:val="both"/>
        <w:rPr>
          <w:rFonts w:asciiTheme="majorBidi" w:hAnsiTheme="majorBidi" w:cstheme="majorBidi"/>
          <w:b/>
          <w:color w:val="FF0000"/>
          <w:sz w:val="28"/>
          <w:szCs w:val="28"/>
          <w:lang w:val="en-GB"/>
        </w:rPr>
      </w:pPr>
      <w:r w:rsidRPr="000C59D6">
        <w:rPr>
          <w:rFonts w:asciiTheme="majorBidi" w:hAnsiTheme="majorBidi" w:cstheme="majorBidi"/>
          <w:b/>
          <w:color w:val="FF0000"/>
          <w:sz w:val="28"/>
          <w:szCs w:val="28"/>
          <w:lang w:val="en-GB"/>
        </w:rPr>
        <w:t>Eligible activities and Full Recognition</w:t>
      </w:r>
    </w:p>
    <w:p w:rsidR="000C59D6" w:rsidRPr="000C59D6" w:rsidRDefault="000C59D6" w:rsidP="000C59D6">
      <w:pPr>
        <w:bidi w:val="0"/>
        <w:spacing w:after="0"/>
        <w:jc w:val="both"/>
        <w:rPr>
          <w:rFonts w:asciiTheme="majorBidi" w:hAnsiTheme="majorBidi" w:cstheme="majorBidi"/>
          <w:bCs/>
          <w:sz w:val="28"/>
          <w:szCs w:val="28"/>
          <w:lang w:val="en-GB"/>
        </w:rPr>
      </w:pPr>
      <w:r w:rsidRPr="000C59D6">
        <w:rPr>
          <w:rFonts w:asciiTheme="majorBidi" w:hAnsiTheme="majorBidi" w:cstheme="majorBidi"/>
          <w:bCs/>
          <w:sz w:val="28"/>
          <w:szCs w:val="28"/>
          <w:lang w:val="en-GB"/>
        </w:rPr>
        <w:t xml:space="preserve">Grants for study can be awarded only to full time undergraduate or postgraduate studies, including thesis preparation (but excluding research activities not specifically forming part of a course of studies), leading to a recognised diploma or degree. </w:t>
      </w:r>
    </w:p>
    <w:p w:rsidR="000C59D6" w:rsidRPr="000C59D6" w:rsidRDefault="000C59D6" w:rsidP="000C59D6">
      <w:pPr>
        <w:bidi w:val="0"/>
        <w:spacing w:after="0"/>
        <w:jc w:val="both"/>
        <w:rPr>
          <w:rFonts w:asciiTheme="majorBidi" w:hAnsiTheme="majorBidi" w:cstheme="majorBidi"/>
          <w:bCs/>
          <w:sz w:val="28"/>
          <w:szCs w:val="28"/>
          <w:rtl/>
          <w:lang w:val="en-GB"/>
        </w:rPr>
      </w:pPr>
      <w:r w:rsidRPr="000C59D6">
        <w:rPr>
          <w:rFonts w:asciiTheme="majorBidi" w:hAnsiTheme="majorBidi" w:cstheme="majorBidi"/>
          <w:b/>
          <w:bCs/>
          <w:sz w:val="28"/>
          <w:szCs w:val="28"/>
          <w:lang w:val="en-GB"/>
        </w:rPr>
        <w:t>Only periods of study which are part of the student's curriculum are eligible.</w:t>
      </w:r>
      <w:r w:rsidRPr="000C59D6">
        <w:rPr>
          <w:rFonts w:asciiTheme="majorBidi" w:hAnsiTheme="majorBidi" w:cstheme="majorBidi"/>
          <w:bCs/>
          <w:sz w:val="28"/>
          <w:szCs w:val="28"/>
          <w:lang w:val="en-GB"/>
        </w:rPr>
        <w:t xml:space="preserve"> The home HEI must be satisfied that the programme of study is integrated into the student’s current degree course and must be clear how the study will be formally recognised as part of the degree. Full recognition must be awarded, using ECTS credits. For more information see </w:t>
      </w:r>
      <w:hyperlink r:id="rId5" w:history="1">
        <w:r w:rsidRPr="000C59D6">
          <w:rPr>
            <w:rStyle w:val="Hyperlink"/>
            <w:rFonts w:asciiTheme="majorBidi" w:hAnsiTheme="majorBidi" w:cstheme="majorBidi"/>
            <w:bCs/>
            <w:sz w:val="28"/>
            <w:szCs w:val="28"/>
            <w:lang w:val="en-GB"/>
          </w:rPr>
          <w:t>http://ec.europa.eu/education/tools/ects_en.htm</w:t>
        </w:r>
      </w:hyperlink>
      <w:r w:rsidRPr="000C59D6">
        <w:rPr>
          <w:rFonts w:asciiTheme="majorBidi" w:hAnsiTheme="majorBidi" w:cstheme="majorBidi"/>
          <w:bCs/>
          <w:sz w:val="28"/>
          <w:szCs w:val="28"/>
          <w:lang w:val="en-GB"/>
        </w:rPr>
        <w:t>. Upon satisfactory completion of the mobility period, the host HEI must provide the student with a transcript completed in accordance with the Learning Agreement.</w:t>
      </w:r>
    </w:p>
    <w:p w:rsidR="008C0791" w:rsidRPr="000C59D6" w:rsidRDefault="008C0791" w:rsidP="00CC5A1E">
      <w:pPr>
        <w:pStyle w:val="Default"/>
        <w:ind w:left="720"/>
        <w:jc w:val="both"/>
        <w:rPr>
          <w:rFonts w:asciiTheme="majorBidi" w:hAnsiTheme="majorBidi" w:cstheme="majorBidi"/>
          <w:b/>
          <w:color w:val="auto"/>
          <w:sz w:val="28"/>
          <w:szCs w:val="28"/>
          <w:rtl/>
          <w:lang w:val="en-GB" w:bidi="ar-JO"/>
        </w:rPr>
      </w:pPr>
    </w:p>
    <w:p w:rsidR="00CC5A1E" w:rsidRPr="00CC5A1E" w:rsidRDefault="00CC5A1E" w:rsidP="00CC5A1E">
      <w:pPr>
        <w:pStyle w:val="Default"/>
        <w:ind w:left="720"/>
        <w:jc w:val="both"/>
        <w:rPr>
          <w:rFonts w:asciiTheme="majorBidi" w:hAnsiTheme="majorBidi" w:cstheme="majorBidi"/>
          <w:b/>
          <w:color w:val="auto"/>
          <w:sz w:val="28"/>
          <w:szCs w:val="28"/>
          <w:lang w:val="en-GB"/>
        </w:rPr>
      </w:pPr>
    </w:p>
    <w:p w:rsidR="00A472EC" w:rsidRDefault="00A472EC" w:rsidP="00A472EC">
      <w:pPr>
        <w:pStyle w:val="Default"/>
        <w:ind w:left="720"/>
        <w:jc w:val="both"/>
        <w:rPr>
          <w:color w:val="1F497D"/>
        </w:rPr>
      </w:pPr>
    </w:p>
    <w:p w:rsidR="00A472EC" w:rsidRPr="00A472EC" w:rsidRDefault="00A472EC" w:rsidP="00A472EC">
      <w:pPr>
        <w:pStyle w:val="Default"/>
        <w:ind w:left="720"/>
        <w:jc w:val="both"/>
        <w:rPr>
          <w:rFonts w:asciiTheme="majorBidi" w:hAnsiTheme="majorBidi" w:cstheme="majorBidi"/>
          <w:b/>
          <w:color w:val="FF0000"/>
          <w:sz w:val="28"/>
          <w:szCs w:val="28"/>
          <w:lang w:val="en-GB"/>
        </w:rPr>
      </w:pPr>
      <w:r w:rsidRPr="00A472EC">
        <w:rPr>
          <w:rFonts w:asciiTheme="majorBidi" w:hAnsiTheme="majorBidi" w:cstheme="majorBidi"/>
          <w:b/>
          <w:color w:val="FF0000"/>
          <w:sz w:val="28"/>
          <w:szCs w:val="28"/>
          <w:lang w:val="en-GB"/>
        </w:rPr>
        <w:t>Grant</w:t>
      </w:r>
    </w:p>
    <w:p w:rsidR="00A472EC" w:rsidRPr="00A472EC" w:rsidRDefault="00A472EC" w:rsidP="00A472EC">
      <w:pPr>
        <w:pStyle w:val="Default"/>
        <w:ind w:left="720"/>
        <w:jc w:val="both"/>
        <w:rPr>
          <w:rFonts w:asciiTheme="majorBidi" w:hAnsiTheme="majorBidi" w:cstheme="majorBidi"/>
          <w:b/>
          <w:color w:val="FF0000"/>
          <w:sz w:val="28"/>
          <w:szCs w:val="28"/>
          <w:lang w:val="en-GB"/>
        </w:rPr>
      </w:pPr>
    </w:p>
    <w:p w:rsidR="000C59D6" w:rsidRPr="000C59D6" w:rsidRDefault="000C59D6" w:rsidP="000C59D6">
      <w:pPr>
        <w:pStyle w:val="Default"/>
        <w:jc w:val="both"/>
        <w:rPr>
          <w:rFonts w:asciiTheme="majorBidi" w:hAnsiTheme="majorBidi" w:cstheme="majorBidi"/>
          <w:color w:val="auto"/>
          <w:sz w:val="28"/>
          <w:szCs w:val="28"/>
          <w:lang w:val="en-GB"/>
        </w:rPr>
      </w:pPr>
      <w:r w:rsidRPr="000C59D6">
        <w:rPr>
          <w:rFonts w:asciiTheme="majorBidi" w:hAnsiTheme="majorBidi" w:cstheme="majorBidi"/>
          <w:color w:val="auto"/>
          <w:sz w:val="28"/>
          <w:szCs w:val="28"/>
          <w:lang w:val="en-GB"/>
        </w:rPr>
        <w:t>The grant from the EU is divided into:</w:t>
      </w:r>
    </w:p>
    <w:p w:rsidR="000C59D6" w:rsidRPr="000C59D6" w:rsidRDefault="000C59D6" w:rsidP="000C59D6">
      <w:pPr>
        <w:pStyle w:val="Default"/>
        <w:jc w:val="both"/>
        <w:rPr>
          <w:rFonts w:asciiTheme="majorBidi" w:hAnsiTheme="majorBidi" w:cstheme="majorBidi"/>
          <w:color w:val="auto"/>
          <w:sz w:val="28"/>
          <w:szCs w:val="28"/>
          <w:lang w:val="en-GB"/>
        </w:rPr>
      </w:pPr>
    </w:p>
    <w:p w:rsidR="000C59D6" w:rsidRPr="000C59D6" w:rsidRDefault="000C59D6" w:rsidP="000C59D6">
      <w:pPr>
        <w:pStyle w:val="Default"/>
        <w:jc w:val="both"/>
        <w:rPr>
          <w:rFonts w:asciiTheme="majorBidi" w:hAnsiTheme="majorBidi" w:cstheme="majorBidi"/>
          <w:b/>
          <w:color w:val="auto"/>
          <w:sz w:val="28"/>
          <w:szCs w:val="28"/>
          <w:lang w:val="en-GB"/>
        </w:rPr>
      </w:pPr>
      <w:r w:rsidRPr="000C59D6">
        <w:rPr>
          <w:rFonts w:asciiTheme="majorBidi" w:hAnsiTheme="majorBidi" w:cstheme="majorBidi"/>
          <w:b/>
          <w:color w:val="auto"/>
          <w:sz w:val="28"/>
          <w:szCs w:val="28"/>
          <w:lang w:val="en-GB"/>
        </w:rPr>
        <w:t xml:space="preserve">A. travel grant (based on distance) </w:t>
      </w:r>
    </w:p>
    <w:tbl>
      <w:tblPr>
        <w:tblW w:w="7215"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30"/>
        <w:gridCol w:w="2085"/>
      </w:tblGrid>
      <w:tr w:rsidR="000C59D6" w:rsidRPr="000C59D6" w:rsidTr="00D770C6">
        <w:trPr>
          <w:trHeight w:val="298"/>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jc w:val="center"/>
              <w:rPr>
                <w:rFonts w:asciiTheme="majorBidi" w:hAnsiTheme="majorBidi" w:cstheme="majorBidi"/>
                <w:color w:val="474747"/>
                <w:sz w:val="28"/>
                <w:szCs w:val="28"/>
              </w:rPr>
            </w:pPr>
            <w:r w:rsidRPr="000C59D6">
              <w:rPr>
                <w:rStyle w:val="Strong"/>
                <w:rFonts w:asciiTheme="majorBidi" w:hAnsiTheme="majorBidi" w:cstheme="majorBidi"/>
                <w:color w:val="474747"/>
                <w:sz w:val="28"/>
                <w:szCs w:val="28"/>
              </w:rPr>
              <w:t>TRAVEL GRANTS/UNIT COSTS</w:t>
            </w:r>
          </w:p>
        </w:tc>
      </w:tr>
      <w:tr w:rsidR="000C59D6" w:rsidRPr="000C59D6" w:rsidTr="00D770C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jc w:val="both"/>
              <w:rPr>
                <w:rFonts w:asciiTheme="majorBidi" w:hAnsiTheme="majorBidi" w:cstheme="majorBidi"/>
                <w:color w:val="474747"/>
                <w:sz w:val="28"/>
                <w:szCs w:val="28"/>
              </w:rPr>
            </w:pPr>
            <w:r w:rsidRPr="000C59D6">
              <w:rPr>
                <w:rFonts w:asciiTheme="majorBidi" w:hAnsiTheme="majorBidi" w:cstheme="majorBidi"/>
                <w:color w:val="474747"/>
                <w:sz w:val="28"/>
                <w:szCs w:val="28"/>
              </w:rPr>
              <w:t>Travel distance 100-499 KM</w:t>
            </w:r>
          </w:p>
        </w:tc>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jc w:val="both"/>
              <w:rPr>
                <w:rFonts w:asciiTheme="majorBidi" w:hAnsiTheme="majorBidi" w:cstheme="majorBidi"/>
                <w:color w:val="474747"/>
                <w:sz w:val="28"/>
                <w:szCs w:val="28"/>
              </w:rPr>
            </w:pPr>
            <w:r w:rsidRPr="000C59D6">
              <w:rPr>
                <w:rFonts w:asciiTheme="majorBidi" w:hAnsiTheme="majorBidi" w:cstheme="majorBidi"/>
                <w:color w:val="474747"/>
                <w:sz w:val="28"/>
                <w:szCs w:val="28"/>
              </w:rPr>
              <w:t>180€/person</w:t>
            </w:r>
          </w:p>
        </w:tc>
      </w:tr>
      <w:tr w:rsidR="000C59D6" w:rsidRPr="000C59D6" w:rsidTr="00D770C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jc w:val="both"/>
              <w:rPr>
                <w:rFonts w:asciiTheme="majorBidi" w:hAnsiTheme="majorBidi" w:cstheme="majorBidi"/>
                <w:color w:val="474747"/>
                <w:sz w:val="28"/>
                <w:szCs w:val="28"/>
              </w:rPr>
            </w:pPr>
            <w:r w:rsidRPr="000C59D6">
              <w:rPr>
                <w:rFonts w:asciiTheme="majorBidi" w:hAnsiTheme="majorBidi" w:cstheme="majorBidi"/>
                <w:color w:val="474747"/>
                <w:sz w:val="28"/>
                <w:szCs w:val="28"/>
              </w:rPr>
              <w:t>Travel distance 500-1999 KM</w:t>
            </w:r>
          </w:p>
        </w:tc>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jc w:val="both"/>
              <w:rPr>
                <w:rFonts w:asciiTheme="majorBidi" w:hAnsiTheme="majorBidi" w:cstheme="majorBidi"/>
                <w:color w:val="474747"/>
                <w:sz w:val="28"/>
                <w:szCs w:val="28"/>
              </w:rPr>
            </w:pPr>
            <w:r w:rsidRPr="000C59D6">
              <w:rPr>
                <w:rFonts w:asciiTheme="majorBidi" w:hAnsiTheme="majorBidi" w:cstheme="majorBidi"/>
                <w:color w:val="474747"/>
                <w:sz w:val="28"/>
                <w:szCs w:val="28"/>
              </w:rPr>
              <w:t>275€/person</w:t>
            </w:r>
          </w:p>
        </w:tc>
      </w:tr>
      <w:tr w:rsidR="000C59D6" w:rsidRPr="000C59D6" w:rsidTr="00D770C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jc w:val="both"/>
              <w:rPr>
                <w:rFonts w:asciiTheme="majorBidi" w:hAnsiTheme="majorBidi" w:cstheme="majorBidi"/>
                <w:color w:val="474747"/>
                <w:sz w:val="28"/>
                <w:szCs w:val="28"/>
              </w:rPr>
            </w:pPr>
            <w:r w:rsidRPr="000C59D6">
              <w:rPr>
                <w:rFonts w:asciiTheme="majorBidi" w:hAnsiTheme="majorBidi" w:cstheme="majorBidi"/>
                <w:color w:val="474747"/>
                <w:sz w:val="28"/>
                <w:szCs w:val="28"/>
              </w:rPr>
              <w:t>Travel distance 2000-2999 KM</w:t>
            </w:r>
          </w:p>
        </w:tc>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jc w:val="both"/>
              <w:rPr>
                <w:rFonts w:asciiTheme="majorBidi" w:hAnsiTheme="majorBidi" w:cstheme="majorBidi"/>
                <w:color w:val="474747"/>
                <w:sz w:val="28"/>
                <w:szCs w:val="28"/>
              </w:rPr>
            </w:pPr>
            <w:r w:rsidRPr="000C59D6">
              <w:rPr>
                <w:rFonts w:asciiTheme="majorBidi" w:hAnsiTheme="majorBidi" w:cstheme="majorBidi"/>
                <w:color w:val="474747"/>
                <w:sz w:val="28"/>
                <w:szCs w:val="28"/>
              </w:rPr>
              <w:t>360€/person</w:t>
            </w:r>
          </w:p>
        </w:tc>
      </w:tr>
      <w:tr w:rsidR="000C59D6" w:rsidRPr="000C59D6" w:rsidTr="00D770C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jc w:val="both"/>
              <w:rPr>
                <w:rFonts w:asciiTheme="majorBidi" w:hAnsiTheme="majorBidi" w:cstheme="majorBidi"/>
                <w:color w:val="474747"/>
                <w:sz w:val="28"/>
                <w:szCs w:val="28"/>
              </w:rPr>
            </w:pPr>
            <w:r w:rsidRPr="000C59D6">
              <w:rPr>
                <w:rFonts w:asciiTheme="majorBidi" w:hAnsiTheme="majorBidi" w:cstheme="majorBidi"/>
                <w:color w:val="474747"/>
                <w:sz w:val="28"/>
                <w:szCs w:val="28"/>
              </w:rPr>
              <w:t>Travel distance 3000-3999 KM:</w:t>
            </w:r>
          </w:p>
        </w:tc>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jc w:val="both"/>
              <w:rPr>
                <w:rFonts w:asciiTheme="majorBidi" w:hAnsiTheme="majorBidi" w:cstheme="majorBidi"/>
                <w:color w:val="474747"/>
                <w:sz w:val="28"/>
                <w:szCs w:val="28"/>
              </w:rPr>
            </w:pPr>
            <w:r w:rsidRPr="000C59D6">
              <w:rPr>
                <w:rFonts w:asciiTheme="majorBidi" w:hAnsiTheme="majorBidi" w:cstheme="majorBidi"/>
                <w:color w:val="474747"/>
                <w:sz w:val="28"/>
                <w:szCs w:val="28"/>
              </w:rPr>
              <w:t>530€/person</w:t>
            </w:r>
          </w:p>
        </w:tc>
      </w:tr>
      <w:tr w:rsidR="000C59D6" w:rsidRPr="000C59D6" w:rsidTr="00D770C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jc w:val="both"/>
              <w:rPr>
                <w:rFonts w:asciiTheme="majorBidi" w:hAnsiTheme="majorBidi" w:cstheme="majorBidi"/>
                <w:color w:val="474747"/>
                <w:sz w:val="28"/>
                <w:szCs w:val="28"/>
              </w:rPr>
            </w:pPr>
            <w:r w:rsidRPr="000C59D6">
              <w:rPr>
                <w:rFonts w:asciiTheme="majorBidi" w:hAnsiTheme="majorBidi" w:cstheme="majorBidi"/>
                <w:color w:val="474747"/>
                <w:sz w:val="28"/>
                <w:szCs w:val="28"/>
              </w:rPr>
              <w:lastRenderedPageBreak/>
              <w:t>Travel distance 4000-7999 KM</w:t>
            </w:r>
          </w:p>
        </w:tc>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jc w:val="both"/>
              <w:rPr>
                <w:rFonts w:asciiTheme="majorBidi" w:hAnsiTheme="majorBidi" w:cstheme="majorBidi"/>
                <w:color w:val="474747"/>
                <w:sz w:val="28"/>
                <w:szCs w:val="28"/>
              </w:rPr>
            </w:pPr>
            <w:r w:rsidRPr="000C59D6">
              <w:rPr>
                <w:rFonts w:asciiTheme="majorBidi" w:hAnsiTheme="majorBidi" w:cstheme="majorBidi"/>
                <w:color w:val="474747"/>
                <w:sz w:val="28"/>
                <w:szCs w:val="28"/>
              </w:rPr>
              <w:t>820€/person</w:t>
            </w:r>
          </w:p>
        </w:tc>
      </w:tr>
      <w:tr w:rsidR="000C59D6" w:rsidRPr="000C59D6" w:rsidTr="00D770C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jc w:val="both"/>
              <w:rPr>
                <w:rFonts w:asciiTheme="majorBidi" w:hAnsiTheme="majorBidi" w:cstheme="majorBidi"/>
                <w:color w:val="474747"/>
                <w:sz w:val="28"/>
                <w:szCs w:val="28"/>
              </w:rPr>
            </w:pPr>
            <w:r w:rsidRPr="000C59D6">
              <w:rPr>
                <w:rFonts w:asciiTheme="majorBidi" w:hAnsiTheme="majorBidi" w:cstheme="majorBidi"/>
                <w:color w:val="474747"/>
                <w:sz w:val="28"/>
                <w:szCs w:val="28"/>
              </w:rPr>
              <w:t>Travel distance 8000 KM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jc w:val="both"/>
              <w:rPr>
                <w:rFonts w:asciiTheme="majorBidi" w:hAnsiTheme="majorBidi" w:cstheme="majorBidi"/>
                <w:color w:val="474747"/>
                <w:sz w:val="28"/>
                <w:szCs w:val="28"/>
              </w:rPr>
            </w:pPr>
            <w:r w:rsidRPr="000C59D6">
              <w:rPr>
                <w:rFonts w:asciiTheme="majorBidi" w:hAnsiTheme="majorBidi" w:cstheme="majorBidi"/>
                <w:color w:val="474747"/>
                <w:sz w:val="28"/>
                <w:szCs w:val="28"/>
              </w:rPr>
              <w:t>1100€/person</w:t>
            </w:r>
          </w:p>
        </w:tc>
      </w:tr>
    </w:tbl>
    <w:p w:rsidR="000C59D6" w:rsidRPr="000C59D6" w:rsidRDefault="000C59D6" w:rsidP="000C59D6">
      <w:pPr>
        <w:bidi w:val="0"/>
        <w:jc w:val="both"/>
        <w:rPr>
          <w:rFonts w:asciiTheme="majorBidi" w:hAnsiTheme="majorBidi" w:cstheme="majorBidi"/>
          <w:color w:val="474747"/>
          <w:sz w:val="28"/>
          <w:szCs w:val="28"/>
        </w:rPr>
      </w:pPr>
      <w:r w:rsidRPr="000C59D6">
        <w:rPr>
          <w:rFonts w:asciiTheme="majorBidi" w:hAnsiTheme="majorBidi" w:cstheme="majorBidi"/>
          <w:color w:val="474747"/>
          <w:sz w:val="28"/>
          <w:szCs w:val="28"/>
        </w:rPr>
        <w:br/>
        <w:t>Please refer to the Travel distance calculator created by the European Commission</w:t>
      </w:r>
      <w:proofErr w:type="gramStart"/>
      <w:r w:rsidRPr="000C59D6">
        <w:rPr>
          <w:rFonts w:asciiTheme="majorBidi" w:hAnsiTheme="majorBidi" w:cstheme="majorBidi"/>
          <w:color w:val="474747"/>
          <w:sz w:val="28"/>
          <w:szCs w:val="28"/>
        </w:rPr>
        <w:t>:</w:t>
      </w:r>
      <w:proofErr w:type="gramEnd"/>
      <w:r w:rsidRPr="000C59D6">
        <w:rPr>
          <w:rFonts w:asciiTheme="majorBidi" w:hAnsiTheme="majorBidi" w:cstheme="majorBidi"/>
          <w:sz w:val="28"/>
          <w:szCs w:val="28"/>
        </w:rPr>
        <w:fldChar w:fldCharType="begin"/>
      </w:r>
      <w:r w:rsidRPr="000C59D6">
        <w:rPr>
          <w:rFonts w:asciiTheme="majorBidi" w:hAnsiTheme="majorBidi" w:cstheme="majorBidi"/>
          <w:sz w:val="28"/>
          <w:szCs w:val="28"/>
        </w:rPr>
        <w:instrText>HYPERLINK "http://ec.europa.eu/programmes/erasmus-plus/tools/distance_en.htm"</w:instrText>
      </w:r>
      <w:r w:rsidRPr="000C59D6">
        <w:rPr>
          <w:rFonts w:asciiTheme="majorBidi" w:hAnsiTheme="majorBidi" w:cstheme="majorBidi"/>
          <w:sz w:val="28"/>
          <w:szCs w:val="28"/>
        </w:rPr>
        <w:fldChar w:fldCharType="separate"/>
      </w:r>
      <w:r w:rsidRPr="000C59D6">
        <w:rPr>
          <w:rStyle w:val="Hyperlink"/>
          <w:rFonts w:asciiTheme="majorBidi" w:hAnsiTheme="majorBidi" w:cstheme="majorBidi"/>
          <w:color w:val="76B7B8"/>
          <w:sz w:val="28"/>
          <w:szCs w:val="28"/>
        </w:rPr>
        <w:t>http://ec.europa.eu/programmes/erasmus-plus/tools/distance_en.htm</w:t>
      </w:r>
      <w:r w:rsidRPr="000C59D6">
        <w:rPr>
          <w:rFonts w:asciiTheme="majorBidi" w:hAnsiTheme="majorBidi" w:cstheme="majorBidi"/>
          <w:sz w:val="28"/>
          <w:szCs w:val="28"/>
        </w:rPr>
        <w:fldChar w:fldCharType="end"/>
      </w:r>
      <w:r w:rsidRPr="000C59D6">
        <w:rPr>
          <w:rFonts w:asciiTheme="majorBidi" w:hAnsiTheme="majorBidi" w:cstheme="majorBidi"/>
          <w:color w:val="474747"/>
          <w:sz w:val="28"/>
          <w:szCs w:val="28"/>
        </w:rPr>
        <w:t xml:space="preserve">. The distance to be calculated is one way - from the location of the sending </w:t>
      </w:r>
      <w:proofErr w:type="spellStart"/>
      <w:r w:rsidRPr="000C59D6">
        <w:rPr>
          <w:rFonts w:asciiTheme="majorBidi" w:hAnsiTheme="majorBidi" w:cstheme="majorBidi"/>
          <w:color w:val="474747"/>
          <w:sz w:val="28"/>
          <w:szCs w:val="28"/>
        </w:rPr>
        <w:t>organisation</w:t>
      </w:r>
      <w:proofErr w:type="spellEnd"/>
      <w:r w:rsidRPr="000C59D6">
        <w:rPr>
          <w:rFonts w:asciiTheme="majorBidi" w:hAnsiTheme="majorBidi" w:cstheme="majorBidi"/>
          <w:color w:val="474747"/>
          <w:sz w:val="28"/>
          <w:szCs w:val="28"/>
        </w:rPr>
        <w:t xml:space="preserve"> to that of the receiving </w:t>
      </w:r>
      <w:proofErr w:type="spellStart"/>
      <w:r w:rsidRPr="000C59D6">
        <w:rPr>
          <w:rFonts w:asciiTheme="majorBidi" w:hAnsiTheme="majorBidi" w:cstheme="majorBidi"/>
          <w:color w:val="474747"/>
          <w:sz w:val="28"/>
          <w:szCs w:val="28"/>
        </w:rPr>
        <w:t>organisation</w:t>
      </w:r>
      <w:proofErr w:type="spellEnd"/>
      <w:r w:rsidRPr="000C59D6">
        <w:rPr>
          <w:rFonts w:asciiTheme="majorBidi" w:hAnsiTheme="majorBidi" w:cstheme="majorBidi"/>
          <w:color w:val="474747"/>
          <w:sz w:val="28"/>
          <w:szCs w:val="28"/>
        </w:rPr>
        <w:t>. The grant covers the outward and return journey.</w:t>
      </w:r>
    </w:p>
    <w:p w:rsidR="000C59D6" w:rsidRPr="000C59D6" w:rsidRDefault="000C59D6" w:rsidP="000C59D6">
      <w:pPr>
        <w:pStyle w:val="Default"/>
        <w:jc w:val="both"/>
        <w:rPr>
          <w:rFonts w:asciiTheme="majorBidi" w:hAnsiTheme="majorBidi" w:cstheme="majorBidi"/>
          <w:color w:val="auto"/>
          <w:sz w:val="28"/>
          <w:szCs w:val="28"/>
          <w:lang w:val="en-GB"/>
        </w:rPr>
      </w:pPr>
    </w:p>
    <w:p w:rsidR="000C59D6" w:rsidRPr="000C59D6" w:rsidRDefault="000C59D6" w:rsidP="000C59D6">
      <w:pPr>
        <w:pStyle w:val="Default"/>
        <w:jc w:val="both"/>
        <w:rPr>
          <w:rFonts w:asciiTheme="majorBidi" w:hAnsiTheme="majorBidi" w:cstheme="majorBidi"/>
          <w:b/>
          <w:color w:val="auto"/>
          <w:sz w:val="28"/>
          <w:szCs w:val="28"/>
          <w:lang w:val="en-GB"/>
        </w:rPr>
      </w:pPr>
      <w:proofErr w:type="gramStart"/>
      <w:r w:rsidRPr="000C59D6">
        <w:rPr>
          <w:rFonts w:asciiTheme="majorBidi" w:hAnsiTheme="majorBidi" w:cstheme="majorBidi"/>
          <w:b/>
          <w:color w:val="auto"/>
          <w:sz w:val="28"/>
          <w:szCs w:val="28"/>
          <w:lang w:val="en-GB"/>
        </w:rPr>
        <w:t>B. individual support (based on length of mobility period).</w:t>
      </w:r>
      <w:proofErr w:type="gramEnd"/>
      <w:r w:rsidRPr="000C59D6">
        <w:rPr>
          <w:rFonts w:asciiTheme="majorBidi" w:hAnsiTheme="majorBidi" w:cstheme="majorBidi"/>
          <w:b/>
          <w:color w:val="auto"/>
          <w:sz w:val="28"/>
          <w:szCs w:val="28"/>
          <w:lang w:val="en-GB"/>
        </w:rPr>
        <w:t xml:space="preserve">  </w:t>
      </w:r>
    </w:p>
    <w:p w:rsidR="000C59D6" w:rsidRPr="000C59D6" w:rsidRDefault="000C59D6" w:rsidP="000C59D6">
      <w:pPr>
        <w:pStyle w:val="Default"/>
        <w:jc w:val="both"/>
        <w:rPr>
          <w:rFonts w:asciiTheme="majorBidi" w:hAnsiTheme="majorBidi" w:cstheme="majorBidi"/>
          <w:b/>
          <w:color w:val="auto"/>
          <w:sz w:val="28"/>
          <w:szCs w:val="28"/>
          <w:lang w:val="en-GB"/>
        </w:rPr>
      </w:pPr>
    </w:p>
    <w:tbl>
      <w:tblPr>
        <w:tblW w:w="7245"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72"/>
        <w:gridCol w:w="2095"/>
        <w:gridCol w:w="3036"/>
        <w:gridCol w:w="42"/>
      </w:tblGrid>
      <w:tr w:rsidR="000C59D6" w:rsidRPr="000C59D6" w:rsidTr="00D770C6">
        <w:trPr>
          <w:tblCellSpacing w:w="7"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spacing w:after="0" w:line="240" w:lineRule="auto"/>
              <w:jc w:val="center"/>
              <w:rPr>
                <w:rFonts w:asciiTheme="majorBidi" w:eastAsia="Times New Roman" w:hAnsiTheme="majorBidi" w:cstheme="majorBidi"/>
                <w:color w:val="474747"/>
                <w:sz w:val="28"/>
                <w:szCs w:val="28"/>
                <w:lang w:eastAsia="it-IT"/>
              </w:rPr>
            </w:pPr>
            <w:r w:rsidRPr="000C59D6">
              <w:rPr>
                <w:rFonts w:asciiTheme="majorBidi" w:eastAsia="Times New Roman" w:hAnsiTheme="majorBidi" w:cstheme="majorBidi"/>
                <w:b/>
                <w:bCs/>
                <w:color w:val="474747"/>
                <w:sz w:val="28"/>
                <w:szCs w:val="28"/>
                <w:lang w:eastAsia="it-IT"/>
              </w:rPr>
              <w:t>Grant levels, Student mobility </w:t>
            </w:r>
          </w:p>
        </w:tc>
      </w:tr>
      <w:tr w:rsidR="000C59D6" w:rsidRPr="000C59D6" w:rsidTr="00D770C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spacing w:after="0" w:line="240" w:lineRule="auto"/>
              <w:rPr>
                <w:rFonts w:asciiTheme="majorBidi" w:eastAsia="Times New Roman" w:hAnsiTheme="majorBidi" w:cstheme="majorBidi"/>
                <w:color w:val="474747"/>
                <w:sz w:val="28"/>
                <w:szCs w:val="28"/>
                <w:lang w:eastAsia="it-IT"/>
              </w:rPr>
            </w:pPr>
            <w:r w:rsidRPr="000C59D6">
              <w:rPr>
                <w:rFonts w:asciiTheme="majorBidi" w:eastAsia="Times New Roman" w:hAnsiTheme="majorBidi" w:cstheme="majorBidi"/>
                <w:b/>
                <w:bCs/>
                <w:color w:val="474747"/>
                <w:sz w:val="28"/>
                <w:szCs w:val="28"/>
                <w:lang w:eastAsia="it-IT"/>
              </w:rPr>
              <w:t>Student mobility </w:t>
            </w:r>
          </w:p>
        </w:tc>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spacing w:after="0" w:line="240" w:lineRule="auto"/>
              <w:rPr>
                <w:rFonts w:asciiTheme="majorBidi" w:eastAsia="Times New Roman" w:hAnsiTheme="majorBidi" w:cstheme="majorBidi"/>
                <w:color w:val="474747"/>
                <w:sz w:val="28"/>
                <w:szCs w:val="28"/>
                <w:lang w:eastAsia="it-IT"/>
              </w:rPr>
            </w:pPr>
            <w:r w:rsidRPr="000C59D6">
              <w:rPr>
                <w:rFonts w:asciiTheme="majorBidi" w:eastAsia="Times New Roman" w:hAnsiTheme="majorBidi" w:cstheme="majorBidi"/>
                <w:b/>
                <w:bCs/>
                <w:color w:val="474747"/>
                <w:sz w:val="28"/>
                <w:szCs w:val="28"/>
                <w:lang w:eastAsia="it-IT"/>
              </w:rPr>
              <w:t>Receiving country</w:t>
            </w:r>
          </w:p>
        </w:tc>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spacing w:after="0" w:line="240" w:lineRule="auto"/>
              <w:rPr>
                <w:rFonts w:asciiTheme="majorBidi" w:eastAsia="Times New Roman" w:hAnsiTheme="majorBidi" w:cstheme="majorBidi"/>
                <w:color w:val="474747"/>
                <w:sz w:val="28"/>
                <w:szCs w:val="28"/>
                <w:lang w:eastAsia="it-IT"/>
              </w:rPr>
            </w:pPr>
            <w:r w:rsidRPr="000C59D6">
              <w:rPr>
                <w:rFonts w:asciiTheme="majorBidi" w:eastAsia="Times New Roman" w:hAnsiTheme="majorBidi" w:cstheme="majorBidi"/>
                <w:b/>
                <w:bCs/>
                <w:color w:val="474747"/>
                <w:sz w:val="28"/>
                <w:szCs w:val="28"/>
                <w:lang w:eastAsia="it-IT"/>
              </w:rPr>
              <w:t>Grant level, €/Month (30 days)</w:t>
            </w:r>
          </w:p>
        </w:tc>
        <w:tc>
          <w:tcPr>
            <w:tcW w:w="0" w:type="auto"/>
            <w:vAlign w:val="center"/>
            <w:hideMark/>
          </w:tcPr>
          <w:p w:rsidR="000C59D6" w:rsidRPr="000C59D6" w:rsidRDefault="000C59D6" w:rsidP="00D770C6">
            <w:pPr>
              <w:bidi w:val="0"/>
              <w:spacing w:after="0" w:line="240" w:lineRule="auto"/>
              <w:rPr>
                <w:rFonts w:asciiTheme="majorBidi" w:eastAsia="Times New Roman" w:hAnsiTheme="majorBidi" w:cstheme="majorBidi"/>
                <w:sz w:val="28"/>
                <w:szCs w:val="28"/>
                <w:lang w:eastAsia="it-IT"/>
              </w:rPr>
            </w:pPr>
          </w:p>
        </w:tc>
      </w:tr>
      <w:tr w:rsidR="000C59D6" w:rsidRPr="000C59D6" w:rsidTr="00D770C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spacing w:after="0" w:line="240" w:lineRule="auto"/>
              <w:rPr>
                <w:rFonts w:asciiTheme="majorBidi" w:eastAsia="Times New Roman" w:hAnsiTheme="majorBidi" w:cstheme="majorBidi"/>
                <w:color w:val="474747"/>
                <w:sz w:val="28"/>
                <w:szCs w:val="28"/>
                <w:lang w:eastAsia="it-IT"/>
              </w:rPr>
            </w:pPr>
            <w:r w:rsidRPr="000C59D6">
              <w:rPr>
                <w:rFonts w:asciiTheme="majorBidi" w:eastAsia="Times New Roman" w:hAnsiTheme="majorBidi" w:cstheme="majorBidi"/>
                <w:color w:val="474747"/>
                <w:sz w:val="28"/>
                <w:szCs w:val="28"/>
                <w:lang w:eastAsia="it-IT"/>
              </w:rPr>
              <w:t>Partner countries (all)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spacing w:after="0" w:line="240" w:lineRule="auto"/>
              <w:rPr>
                <w:rFonts w:asciiTheme="majorBidi" w:eastAsia="Times New Roman" w:hAnsiTheme="majorBidi" w:cstheme="majorBidi"/>
                <w:color w:val="474747"/>
                <w:sz w:val="28"/>
                <w:szCs w:val="28"/>
                <w:lang w:eastAsia="it-IT"/>
              </w:rPr>
            </w:pPr>
            <w:r w:rsidRPr="000C59D6">
              <w:rPr>
                <w:rFonts w:asciiTheme="majorBidi" w:eastAsia="Times New Roman" w:hAnsiTheme="majorBidi" w:cstheme="majorBidi"/>
                <w:color w:val="474747"/>
                <w:sz w:val="28"/>
                <w:szCs w:val="28"/>
                <w:lang w:eastAsia="it-IT"/>
              </w:rPr>
              <w:t>Italy</w:t>
            </w:r>
          </w:p>
        </w:tc>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spacing w:after="0" w:line="240" w:lineRule="auto"/>
              <w:jc w:val="center"/>
              <w:rPr>
                <w:rFonts w:asciiTheme="majorBidi" w:eastAsia="Times New Roman" w:hAnsiTheme="majorBidi" w:cstheme="majorBidi"/>
                <w:b/>
                <w:color w:val="474747"/>
                <w:sz w:val="28"/>
                <w:szCs w:val="28"/>
                <w:lang w:eastAsia="it-IT"/>
              </w:rPr>
            </w:pPr>
            <w:r w:rsidRPr="000C59D6">
              <w:rPr>
                <w:rFonts w:asciiTheme="majorBidi" w:eastAsia="Times New Roman" w:hAnsiTheme="majorBidi" w:cstheme="majorBidi"/>
                <w:b/>
                <w:color w:val="474747"/>
                <w:sz w:val="28"/>
                <w:szCs w:val="28"/>
                <w:lang w:eastAsia="it-IT"/>
              </w:rPr>
              <w:t>€ 850</w:t>
            </w:r>
          </w:p>
        </w:tc>
        <w:tc>
          <w:tcPr>
            <w:tcW w:w="0" w:type="auto"/>
            <w:vAlign w:val="center"/>
            <w:hideMark/>
          </w:tcPr>
          <w:p w:rsidR="000C59D6" w:rsidRPr="000C59D6" w:rsidRDefault="000C59D6" w:rsidP="00D770C6">
            <w:pPr>
              <w:bidi w:val="0"/>
              <w:spacing w:after="0" w:line="240" w:lineRule="auto"/>
              <w:rPr>
                <w:rFonts w:asciiTheme="majorBidi" w:eastAsia="Times New Roman" w:hAnsiTheme="majorBidi" w:cstheme="majorBidi"/>
                <w:sz w:val="28"/>
                <w:szCs w:val="28"/>
                <w:lang w:eastAsia="it-IT"/>
              </w:rPr>
            </w:pPr>
          </w:p>
        </w:tc>
      </w:tr>
      <w:tr w:rsidR="000C59D6" w:rsidRPr="000C59D6" w:rsidTr="00D770C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spacing w:after="0" w:line="240" w:lineRule="auto"/>
              <w:rPr>
                <w:rFonts w:asciiTheme="majorBidi" w:eastAsia="Times New Roman" w:hAnsiTheme="majorBidi" w:cstheme="majorBidi"/>
                <w:color w:val="474747"/>
                <w:sz w:val="28"/>
                <w:szCs w:val="28"/>
                <w:lang w:eastAsia="it-IT"/>
              </w:rPr>
            </w:pPr>
            <w:r w:rsidRPr="000C59D6">
              <w:rPr>
                <w:rFonts w:asciiTheme="majorBidi" w:eastAsia="Times New Roman" w:hAnsiTheme="majorBidi" w:cstheme="majorBidi"/>
                <w:color w:val="474747"/>
                <w:sz w:val="28"/>
                <w:szCs w:val="28"/>
                <w:lang w:eastAsia="it-IT"/>
              </w:rPr>
              <w:t>Italy</w:t>
            </w:r>
          </w:p>
        </w:tc>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spacing w:after="0" w:line="240" w:lineRule="auto"/>
              <w:rPr>
                <w:rFonts w:asciiTheme="majorBidi" w:eastAsia="Times New Roman" w:hAnsiTheme="majorBidi" w:cstheme="majorBidi"/>
                <w:color w:val="474747"/>
                <w:sz w:val="28"/>
                <w:szCs w:val="28"/>
                <w:lang w:eastAsia="it-IT"/>
              </w:rPr>
            </w:pPr>
            <w:r w:rsidRPr="000C59D6">
              <w:rPr>
                <w:rFonts w:asciiTheme="majorBidi" w:eastAsia="Times New Roman" w:hAnsiTheme="majorBidi" w:cstheme="majorBidi"/>
                <w:color w:val="474747"/>
                <w:sz w:val="28"/>
                <w:szCs w:val="28"/>
                <w:lang w:eastAsia="it-IT"/>
              </w:rPr>
              <w:t>Partner countries (all)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C59D6" w:rsidRPr="000C59D6" w:rsidRDefault="000C59D6" w:rsidP="00D770C6">
            <w:pPr>
              <w:bidi w:val="0"/>
              <w:spacing w:after="0" w:line="240" w:lineRule="auto"/>
              <w:jc w:val="center"/>
              <w:rPr>
                <w:rFonts w:asciiTheme="majorBidi" w:eastAsia="Times New Roman" w:hAnsiTheme="majorBidi" w:cstheme="majorBidi"/>
                <w:b/>
                <w:color w:val="474747"/>
                <w:sz w:val="28"/>
                <w:szCs w:val="28"/>
                <w:lang w:eastAsia="it-IT"/>
              </w:rPr>
            </w:pPr>
            <w:r w:rsidRPr="000C59D6">
              <w:rPr>
                <w:rFonts w:asciiTheme="majorBidi" w:eastAsia="Times New Roman" w:hAnsiTheme="majorBidi" w:cstheme="majorBidi"/>
                <w:b/>
                <w:color w:val="474747"/>
                <w:sz w:val="28"/>
                <w:szCs w:val="28"/>
                <w:lang w:eastAsia="it-IT"/>
              </w:rPr>
              <w:t>€ 650</w:t>
            </w:r>
          </w:p>
        </w:tc>
        <w:tc>
          <w:tcPr>
            <w:tcW w:w="0" w:type="auto"/>
            <w:vAlign w:val="center"/>
            <w:hideMark/>
          </w:tcPr>
          <w:p w:rsidR="000C59D6" w:rsidRPr="000C59D6" w:rsidRDefault="000C59D6" w:rsidP="00D770C6">
            <w:pPr>
              <w:bidi w:val="0"/>
              <w:spacing w:after="0" w:line="240" w:lineRule="auto"/>
              <w:rPr>
                <w:rFonts w:asciiTheme="majorBidi" w:eastAsia="Times New Roman" w:hAnsiTheme="majorBidi" w:cstheme="majorBidi"/>
                <w:sz w:val="28"/>
                <w:szCs w:val="28"/>
                <w:lang w:eastAsia="it-IT"/>
              </w:rPr>
            </w:pPr>
          </w:p>
        </w:tc>
      </w:tr>
    </w:tbl>
    <w:p w:rsidR="000C59D6" w:rsidRPr="000C59D6" w:rsidRDefault="000C59D6" w:rsidP="000C59D6">
      <w:pPr>
        <w:shd w:val="clear" w:color="auto" w:fill="FFFFFF"/>
        <w:bidi w:val="0"/>
        <w:rPr>
          <w:rFonts w:asciiTheme="majorBidi" w:hAnsiTheme="majorBidi" w:cstheme="majorBidi"/>
          <w:b/>
          <w:sz w:val="28"/>
          <w:szCs w:val="28"/>
          <w:lang w:val="en-GB"/>
        </w:rPr>
      </w:pPr>
      <w:r w:rsidRPr="000C59D6">
        <w:rPr>
          <w:rFonts w:asciiTheme="majorBidi" w:hAnsiTheme="majorBidi" w:cstheme="majorBidi"/>
          <w:color w:val="222222"/>
          <w:sz w:val="28"/>
          <w:szCs w:val="28"/>
        </w:rPr>
        <w:br/>
      </w:r>
      <w:r w:rsidRPr="000C59D6">
        <w:rPr>
          <w:rFonts w:asciiTheme="majorBidi" w:hAnsiTheme="majorBidi" w:cstheme="majorBidi"/>
          <w:b/>
          <w:sz w:val="28"/>
          <w:szCs w:val="28"/>
          <w:lang w:val="en-GB"/>
        </w:rPr>
        <w:t xml:space="preserve">Grants for both incoming and outgoing students are paid through the UNIPV International Relations Office in two instalments, 70% up front and 30% once the year is completed. </w:t>
      </w:r>
    </w:p>
    <w:p w:rsidR="00CC5A1E" w:rsidRPr="000C59D6" w:rsidRDefault="00CC5A1E" w:rsidP="000C59D6">
      <w:pPr>
        <w:pStyle w:val="Default"/>
        <w:ind w:left="720"/>
        <w:jc w:val="both"/>
        <w:rPr>
          <w:rFonts w:asciiTheme="majorBidi" w:hAnsiTheme="majorBidi" w:cstheme="majorBidi"/>
          <w:b/>
          <w:color w:val="auto"/>
          <w:sz w:val="28"/>
          <w:szCs w:val="28"/>
          <w:lang w:val="en-GB"/>
        </w:rPr>
      </w:pPr>
    </w:p>
    <w:sectPr w:rsidR="00CC5A1E" w:rsidRPr="000C59D6" w:rsidSect="00A1120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234BD"/>
    <w:multiLevelType w:val="hybridMultilevel"/>
    <w:tmpl w:val="E3B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CF63B3"/>
    <w:multiLevelType w:val="hybridMultilevel"/>
    <w:tmpl w:val="CDE8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522935"/>
    <w:multiLevelType w:val="hybridMultilevel"/>
    <w:tmpl w:val="3436825A"/>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C0A1B17"/>
    <w:multiLevelType w:val="hybridMultilevel"/>
    <w:tmpl w:val="088A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F42076"/>
    <w:multiLevelType w:val="hybridMultilevel"/>
    <w:tmpl w:val="2EE4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B41C33"/>
    <w:multiLevelType w:val="hybridMultilevel"/>
    <w:tmpl w:val="90BAC05A"/>
    <w:lvl w:ilvl="0" w:tplc="32FC7EF8">
      <w:numFmt w:val="bullet"/>
      <w:lvlText w:val=""/>
      <w:lvlJc w:val="left"/>
      <w:pPr>
        <w:ind w:left="765" w:hanging="405"/>
      </w:pPr>
      <w:rPr>
        <w:rFonts w:ascii="Symbol" w:eastAsia="Times New Roman" w:hAnsi="Symbol" w:cs="Times New Roman" w:hint="default"/>
        <w:color w:val="1F497D"/>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EE393B"/>
    <w:multiLevelType w:val="hybridMultilevel"/>
    <w:tmpl w:val="CC0EDC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5A1E"/>
    <w:rsid w:val="0007173A"/>
    <w:rsid w:val="000C59D6"/>
    <w:rsid w:val="00490BC2"/>
    <w:rsid w:val="008C0791"/>
    <w:rsid w:val="008E78C4"/>
    <w:rsid w:val="00914D78"/>
    <w:rsid w:val="00A11204"/>
    <w:rsid w:val="00A472EC"/>
    <w:rsid w:val="00CC5A1E"/>
    <w:rsid w:val="00CD70D5"/>
    <w:rsid w:val="00D007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791"/>
    <w:pPr>
      <w:bidi/>
    </w:pPr>
    <w:rPr>
      <w:lang w:bidi="ar-JO"/>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A1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zmsearchresult">
    <w:name w:val="zmsearchresult"/>
    <w:basedOn w:val="DefaultParagraphFont"/>
    <w:rsid w:val="00CC5A1E"/>
  </w:style>
  <w:style w:type="character" w:customStyle="1" w:styleId="object">
    <w:name w:val="object"/>
    <w:basedOn w:val="DefaultParagraphFont"/>
    <w:rsid w:val="00CC5A1E"/>
  </w:style>
  <w:style w:type="character" w:styleId="Hyperlink">
    <w:name w:val="Hyperlink"/>
    <w:basedOn w:val="DefaultParagraphFont"/>
    <w:uiPriority w:val="99"/>
    <w:unhideWhenUsed/>
    <w:rsid w:val="00CC5A1E"/>
    <w:rPr>
      <w:color w:val="0000FF"/>
      <w:u w:val="single"/>
    </w:rPr>
  </w:style>
  <w:style w:type="character" w:styleId="FollowedHyperlink">
    <w:name w:val="FollowedHyperlink"/>
    <w:basedOn w:val="DefaultParagraphFont"/>
    <w:uiPriority w:val="99"/>
    <w:semiHidden/>
    <w:unhideWhenUsed/>
    <w:rsid w:val="00CC5A1E"/>
    <w:rPr>
      <w:color w:val="800080" w:themeColor="followedHyperlink"/>
      <w:u w:val="single"/>
    </w:rPr>
  </w:style>
  <w:style w:type="paragraph" w:customStyle="1" w:styleId="Default">
    <w:name w:val="Default"/>
    <w:rsid w:val="00CC5A1E"/>
    <w:pPr>
      <w:autoSpaceDE w:val="0"/>
      <w:autoSpaceDN w:val="0"/>
      <w:adjustRightInd w:val="0"/>
      <w:spacing w:after="0" w:line="240" w:lineRule="auto"/>
    </w:pPr>
    <w:rPr>
      <w:rFonts w:ascii="Arial" w:hAnsi="Arial" w:cs="Arial"/>
      <w:color w:val="000000"/>
      <w:sz w:val="24"/>
      <w:szCs w:val="24"/>
      <w:lang w:val="it-IT"/>
    </w:rPr>
  </w:style>
  <w:style w:type="character" w:styleId="Strong">
    <w:name w:val="Strong"/>
    <w:basedOn w:val="DefaultParagraphFont"/>
    <w:uiPriority w:val="22"/>
    <w:qFormat/>
    <w:rsid w:val="000C59D6"/>
    <w:rPr>
      <w:b/>
      <w:bCs/>
    </w:rPr>
  </w:style>
</w:styles>
</file>

<file path=word/webSettings.xml><?xml version="1.0" encoding="utf-8"?>
<w:webSettings xmlns:r="http://schemas.openxmlformats.org/officeDocument/2006/relationships" xmlns:w="http://schemas.openxmlformats.org/wordprocessingml/2006/main">
  <w:divs>
    <w:div w:id="161043649">
      <w:bodyDiv w:val="1"/>
      <w:marLeft w:val="0"/>
      <w:marRight w:val="0"/>
      <w:marTop w:val="0"/>
      <w:marBottom w:val="0"/>
      <w:divBdr>
        <w:top w:val="none" w:sz="0" w:space="0" w:color="auto"/>
        <w:left w:val="none" w:sz="0" w:space="0" w:color="auto"/>
        <w:bottom w:val="none" w:sz="0" w:space="0" w:color="auto"/>
        <w:right w:val="none" w:sz="0" w:space="0" w:color="auto"/>
      </w:divBdr>
    </w:div>
    <w:div w:id="171974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europa.eu/education/tools/ects_e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shoruq hseba</dc:creator>
  <cp:lastModifiedBy>shoruq hseba</cp:lastModifiedBy>
  <cp:revision>3</cp:revision>
  <cp:lastPrinted>2015-10-08T09:18:00Z</cp:lastPrinted>
  <dcterms:created xsi:type="dcterms:W3CDTF">2015-10-08T09:45:00Z</dcterms:created>
  <dcterms:modified xsi:type="dcterms:W3CDTF">2015-10-08T09:52:00Z</dcterms:modified>
</cp:coreProperties>
</file>